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44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Gift/Donation/Memorial Acceptance Policy</w:t>
      </w:r>
    </w:p>
    <w:p w:rsidR="00000000" w:rsidDel="00000000" w:rsidP="00000000" w:rsidRDefault="00000000" w:rsidRPr="00000000" w14:paraId="00000002">
      <w:pPr>
        <w:numPr>
          <w:ilvl w:val="0"/>
          <w:numId w:val="1"/>
        </w:numPr>
        <w:spacing w:after="200"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Library is pleased to accept donations of cash and goods that will assist the Library to fulfill its mission and support Library programs as well as special projects.  Any donation that comes with a stipulation must have written approval of the Library Board. Any donation that needs or might need more than minor maintenance or upkeep or would incur an expense must have written approval of the Library Board.  In all cases, the final disposition of any donation is wholly in the purview of the Director or Library Board. The Library Board makes no warranty that any donated item will be displayed, added to the collection or kept permanently in the Library.</w:t>
      </w:r>
      <w:r w:rsidDel="00000000" w:rsidR="00000000" w:rsidRPr="00000000">
        <w:rPr>
          <w:rtl w:val="0"/>
        </w:rPr>
      </w:r>
    </w:p>
    <w:p w:rsidR="00000000" w:rsidDel="00000000" w:rsidP="00000000" w:rsidRDefault="00000000" w:rsidRPr="00000000" w14:paraId="00000003">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