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144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Gift/Donation/Memorial Acceptance Policy</w:t>
      </w:r>
    </w:p>
    <w:p w:rsidR="00000000" w:rsidDel="00000000" w:rsidP="00000000" w:rsidRDefault="00000000" w:rsidRPr="00000000" w14:paraId="00000002">
      <w:pPr>
        <w:numPr>
          <w:ilvl w:val="0"/>
          <w:numId w:val="1"/>
        </w:numPr>
        <w:spacing w:after="200"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Library is pleased to accept donations of cash and goods that will assist the Library to fulfill its mission and support Library programs as well as special projects.  Any donation that comes with a stipulation must have written approval of the Library Board. Any donation that needs or might need more than minor maintenance or upkeep or would incur an expense must have written approval of the Library Board.  In all cases, the final disposition of any donation is wholly in the purview of the Director or Library Board. The Library Board makes no warranty that any donated item will be displayed, added to the collection or kept permanently in the Library.</w:t>
      </w:r>
      <w:r w:rsidDel="00000000" w:rsidR="00000000" w:rsidRPr="00000000">
        <w:rPr>
          <w:rtl w:val="0"/>
        </w:rPr>
      </w:r>
    </w:p>
    <w:p w:rsidR="00000000" w:rsidDel="00000000" w:rsidP="00000000" w:rsidRDefault="00000000" w:rsidRPr="00000000" w14:paraId="00000003">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